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F17" w14:textId="17A251AF" w:rsidR="00F777D1" w:rsidRPr="00967CFB" w:rsidRDefault="00F777D1" w:rsidP="00F777D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66501" w:rsidRPr="00566501">
        <w:rPr>
          <w:rFonts w:ascii="Arial" w:hAnsi="Arial" w:cs="Arial"/>
          <w:b/>
          <w:bCs/>
          <w:sz w:val="28"/>
        </w:rPr>
        <w:t>R1-2406818</w:t>
      </w:r>
    </w:p>
    <w:p w14:paraId="53702674" w14:textId="16FDBC9C" w:rsidR="00BE43ED" w:rsidRDefault="00F777D1" w:rsidP="00F777D1">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1E7098EA" w14:textId="77777777" w:rsidR="00F777D1" w:rsidRPr="00F777D1" w:rsidRDefault="00F777D1" w:rsidP="00F777D1">
      <w:pPr>
        <w:tabs>
          <w:tab w:val="center" w:pos="4536"/>
          <w:tab w:val="right" w:pos="9072"/>
        </w:tabs>
        <w:rPr>
          <w:rFonts w:ascii="Arial" w:eastAsia="MS Mincho" w:hAnsi="Arial" w:cs="Arial"/>
          <w:b/>
          <w:bCs/>
          <w:sz w:val="28"/>
          <w:lang w:eastAsia="ja-JP"/>
        </w:rPr>
      </w:pPr>
    </w:p>
    <w:p w14:paraId="5FB7E722" w14:textId="1BD43416"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FD11F3">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31B1F2B" w:rsidR="00531215" w:rsidRPr="000E0BC7" w:rsidRDefault="003D3C45" w:rsidP="00C561AB">
      <w:pPr>
        <w:pStyle w:val="3GPPHeader"/>
        <w:ind w:left="1700" w:hanging="1700"/>
        <w:rPr>
          <w:rFonts w:ascii="Arial" w:hAnsi="Arial" w:cs="Arial"/>
        </w:rPr>
      </w:pPr>
      <w:r w:rsidRPr="000E0BC7">
        <w:rPr>
          <w:rFonts w:ascii="Arial" w:hAnsi="Arial" w:cs="Arial"/>
        </w:rPr>
        <w:t>Title:</w:t>
      </w:r>
      <w:r w:rsidR="00E90E49" w:rsidRPr="000E0BC7">
        <w:rPr>
          <w:rFonts w:ascii="Arial" w:hAnsi="Arial" w:cs="Arial"/>
        </w:rPr>
        <w:tab/>
      </w:r>
      <w:r w:rsidR="00FD11F3">
        <w:rPr>
          <w:rFonts w:ascii="Arial" w:hAnsi="Arial" w:cs="Arial"/>
        </w:rPr>
        <w:t xml:space="preserve">Discussion on </w:t>
      </w:r>
      <w:r w:rsidR="00C561AB">
        <w:rPr>
          <w:rFonts w:ascii="Arial" w:hAnsi="Arial" w:cs="Arial"/>
        </w:rPr>
        <w:t xml:space="preserve">RAN2 </w:t>
      </w:r>
      <w:r w:rsidR="00FD11F3" w:rsidRPr="00FD11F3">
        <w:rPr>
          <w:rFonts w:ascii="Arial" w:hAnsi="Arial" w:cs="Arial"/>
          <w:color w:val="000000"/>
          <w:lang w:val="en-GB"/>
        </w:rPr>
        <w:t>LS on RACH during uplink transmission extension</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A5E7D15" w14:textId="55B77546" w:rsidR="00C27E79" w:rsidRPr="00C27E79" w:rsidRDefault="00C27E79" w:rsidP="00C27E79">
      <w:pPr>
        <w:pStyle w:val="BodyText"/>
      </w:pPr>
      <w:r w:rsidRPr="00C27E79">
        <w:t xml:space="preserve">RAN1 received an LS from RAN2 on </w:t>
      </w:r>
      <w:r>
        <w:t>RACH during uplink transmission extension. It included the RAN2 agreements on the UE behavior during the T390 running</w:t>
      </w:r>
      <w:r w:rsidRPr="00C27E79">
        <w:t xml:space="preserve"> [1]:</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rsidRPr="007E6453" w14:paraId="33C9ED9E" w14:textId="77777777" w:rsidTr="008E2616">
        <w:tc>
          <w:tcPr>
            <w:tcW w:w="9629" w:type="dxa"/>
          </w:tcPr>
          <w:p w14:paraId="5ECD9244" w14:textId="77777777" w:rsidR="00C27E79" w:rsidRDefault="00C27E79" w:rsidP="00C27E79">
            <w:pPr>
              <w:pStyle w:val="Agreement"/>
            </w:pPr>
            <w:r w:rsidRPr="00903998">
              <w:t xml:space="preserve">RAN2 confirms </w:t>
            </w:r>
            <w:r>
              <w:t xml:space="preserve">the </w:t>
            </w:r>
            <w:r w:rsidRPr="00903998">
              <w:t xml:space="preserve">understanding that connected mode random access to </w:t>
            </w:r>
            <w:proofErr w:type="spellStart"/>
            <w:r w:rsidRPr="00903998">
              <w:t>Pcell</w:t>
            </w:r>
            <w:proofErr w:type="spellEnd"/>
            <w:r w:rsidRPr="00903998">
              <w:t xml:space="preserve"> (including intra-cell handover case) is possible</w:t>
            </w:r>
            <w:r>
              <w:t xml:space="preserve"> while T390 is running</w:t>
            </w:r>
            <w:r w:rsidRPr="00903998">
              <w:t>. No RAN2 spec</w:t>
            </w:r>
            <w:r>
              <w:t xml:space="preserve"> impact.</w:t>
            </w:r>
            <w:r w:rsidRPr="00903998">
              <w:t xml:space="preserve"> </w:t>
            </w:r>
          </w:p>
          <w:p w14:paraId="5EEC8C29" w14:textId="20220F73" w:rsidR="008E2616" w:rsidRPr="007E6453" w:rsidRDefault="00C27E79" w:rsidP="00FD11F3">
            <w:pPr>
              <w:pStyle w:val="Agreement"/>
            </w:pPr>
            <w:r w:rsidRPr="00706508">
              <w:t xml:space="preserve">Network ensures that neither inter-cell handover </w:t>
            </w:r>
            <w:proofErr w:type="gramStart"/>
            <w:r w:rsidRPr="00706508">
              <w:t>or</w:t>
            </w:r>
            <w:proofErr w:type="gramEnd"/>
            <w:r w:rsidRPr="00706508">
              <w:t xml:space="preserve"> conditional handover is triggered to target cell while T390 is running via network implementation. No stage 3 impact.  </w:t>
            </w:r>
          </w:p>
        </w:tc>
      </w:tr>
    </w:tbl>
    <w:p w14:paraId="65E8C13E" w14:textId="2DFE0B45" w:rsidR="006400C7" w:rsidRPr="006400C7" w:rsidRDefault="000516C1" w:rsidP="000668C5">
      <w:pPr>
        <w:spacing w:before="120"/>
        <w:jc w:val="both"/>
      </w:pPr>
      <w:r>
        <w:t>In this contribution, we provide our views on the potential RAN1 impacts from the first agreement</w:t>
      </w:r>
      <w:r w:rsidR="00385112">
        <w:t xml:space="preserve">. </w:t>
      </w:r>
    </w:p>
    <w:p w14:paraId="05B5772E" w14:textId="1512467D" w:rsidR="0003353A" w:rsidRDefault="00EA5A5B" w:rsidP="00447B1C">
      <w:pPr>
        <w:pStyle w:val="Heading1"/>
      </w:pPr>
      <w:r>
        <w:t>Discussion</w:t>
      </w:r>
    </w:p>
    <w:p w14:paraId="67003519" w14:textId="658CEBBD" w:rsidR="00A57FDA" w:rsidRPr="00A57FDA" w:rsidRDefault="00A57FDA" w:rsidP="00A57FDA">
      <w:pPr>
        <w:spacing w:before="120" w:after="120"/>
        <w:rPr>
          <w:lang w:eastAsia="x-none"/>
        </w:rPr>
      </w:pPr>
      <w:r w:rsidRPr="00A57FDA">
        <w:rPr>
          <w:rFonts w:hint="eastAsia"/>
        </w:rPr>
        <w:t>Rega</w:t>
      </w:r>
      <w:r w:rsidRPr="00A57FDA">
        <w:t xml:space="preserve">rding the UL transmission </w:t>
      </w:r>
      <w:r w:rsidRPr="00A57FDA">
        <w:rPr>
          <w:rFonts w:eastAsia="DengXian"/>
          <w:bCs/>
        </w:rPr>
        <w:t>after the original GNSS validity duration expires without GNSS re-acquisition, RAN1 made the following agreements and conclusion.</w:t>
      </w:r>
      <w:r w:rsidR="00476E3E">
        <w:rPr>
          <w:rFonts w:eastAsia="DengXian"/>
          <w:bCs/>
        </w:rPr>
        <w:t xml:space="preserve"> </w:t>
      </w:r>
      <w:r w:rsidR="00663149">
        <w:rPr>
          <w:rFonts w:eastAsia="DengXian"/>
          <w:bCs/>
        </w:rPr>
        <w:t xml:space="preserve">According to the conclusion, </w:t>
      </w:r>
      <w:r w:rsidR="00663149">
        <w:t xml:space="preserve">(N)PRACH can be transmitted within the UL extension duration without enhancement. </w:t>
      </w:r>
      <w:r w:rsidR="00F071BC">
        <w:t>Therefore,</w:t>
      </w:r>
      <w:r w:rsidR="00663149">
        <w:t xml:space="preserve"> RAN2 understanding</w:t>
      </w:r>
      <w:r w:rsidR="00355BFB">
        <w:t xml:space="preserve"> that </w:t>
      </w:r>
      <w:r w:rsidR="00355BFB" w:rsidRPr="00903998">
        <w:t xml:space="preserve">connected mode random access to </w:t>
      </w:r>
      <w:proofErr w:type="spellStart"/>
      <w:r w:rsidR="00355BFB" w:rsidRPr="00903998">
        <w:t>Pcell</w:t>
      </w:r>
      <w:proofErr w:type="spellEnd"/>
      <w:r w:rsidR="00355BFB" w:rsidRPr="00903998">
        <w:t xml:space="preserve"> (including intra-cell handover case) is possible</w:t>
      </w:r>
      <w:r w:rsidR="00355BFB">
        <w:t xml:space="preserve"> while T390 is running</w:t>
      </w:r>
      <w:r w:rsidR="00663149">
        <w:t xml:space="preserve"> can be confirmed</w:t>
      </w:r>
      <w:r w:rsidR="00355BFB">
        <w:t xml:space="preserve"> from RAN1 perspective.</w:t>
      </w:r>
    </w:p>
    <w:tbl>
      <w:tblPr>
        <w:tblStyle w:val="TableGrid"/>
        <w:tblW w:w="0" w:type="auto"/>
        <w:tblLook w:val="04A0" w:firstRow="1" w:lastRow="0" w:firstColumn="1" w:lastColumn="0" w:noHBand="0" w:noVBand="1"/>
      </w:tblPr>
      <w:tblGrid>
        <w:gridCol w:w="9629"/>
      </w:tblGrid>
      <w:tr w:rsidR="000516C1" w:rsidRPr="00A57FDA" w14:paraId="1D1F3466" w14:textId="77777777" w:rsidTr="000516C1">
        <w:tc>
          <w:tcPr>
            <w:tcW w:w="9629" w:type="dxa"/>
          </w:tcPr>
          <w:p w14:paraId="375FDD10" w14:textId="578FD1A1" w:rsidR="000516C1" w:rsidRPr="00A57FDA" w:rsidRDefault="000516C1" w:rsidP="000516C1">
            <w:pPr>
              <w:rPr>
                <w:b/>
                <w:lang w:eastAsia="x-none"/>
              </w:rPr>
            </w:pPr>
            <w:r w:rsidRPr="00A57FDA">
              <w:rPr>
                <w:b/>
                <w:highlight w:val="green"/>
                <w:lang w:eastAsia="x-none"/>
              </w:rPr>
              <w:t>Agreement</w:t>
            </w:r>
            <w:r w:rsidR="00A57FDA" w:rsidRPr="00A57FDA">
              <w:rPr>
                <w:b/>
                <w:lang w:eastAsia="x-none"/>
              </w:rPr>
              <w:t xml:space="preserve"> in RAN1#113</w:t>
            </w:r>
          </w:p>
          <w:p w14:paraId="73B07744" w14:textId="77777777" w:rsidR="000516C1" w:rsidRPr="00A57FDA" w:rsidRDefault="000516C1" w:rsidP="000516C1">
            <w:pPr>
              <w:rPr>
                <w:lang w:eastAsia="x-none"/>
              </w:rPr>
            </w:pPr>
            <w:r w:rsidRPr="00A57FDA">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3D3817A1" w14:textId="77777777" w:rsidR="000516C1" w:rsidRPr="00A57FDA" w:rsidRDefault="000516C1" w:rsidP="000516C1">
            <w:pPr>
              <w:rPr>
                <w:lang w:eastAsia="x-none"/>
              </w:rPr>
            </w:pPr>
            <w:r w:rsidRPr="00A57FDA">
              <w:rPr>
                <w:rFonts w:hint="eastAsia"/>
                <w:lang w:eastAsia="x-none"/>
              </w:rPr>
              <w:t>R</w:t>
            </w:r>
            <w:r w:rsidRPr="00A57FDA">
              <w:rPr>
                <w:lang w:eastAsia="x-none"/>
              </w:rPr>
              <w:t>AN1 will decide further details of the above.</w:t>
            </w:r>
          </w:p>
          <w:p w14:paraId="1641F95B" w14:textId="77777777" w:rsidR="00A57FDA" w:rsidRPr="00A57FDA" w:rsidRDefault="00A57FDA" w:rsidP="000516C1">
            <w:pPr>
              <w:rPr>
                <w:lang w:eastAsia="x-none"/>
              </w:rPr>
            </w:pPr>
          </w:p>
          <w:p w14:paraId="670451F8" w14:textId="77777777" w:rsidR="00A57FDA" w:rsidRPr="00A57FDA" w:rsidRDefault="00A57FDA" w:rsidP="00A57FDA">
            <w:pPr>
              <w:rPr>
                <w:b/>
                <w:lang w:eastAsia="x-none"/>
              </w:rPr>
            </w:pPr>
            <w:r w:rsidRPr="00A57FDA">
              <w:rPr>
                <w:b/>
                <w:lang w:eastAsia="x-none"/>
              </w:rPr>
              <w:t>Conclusion in RAN1#116</w:t>
            </w:r>
          </w:p>
          <w:p w14:paraId="325FB7E9" w14:textId="3A4997A0" w:rsidR="00A57FDA" w:rsidRPr="00A57FDA" w:rsidRDefault="00A57FDA" w:rsidP="00A57FDA">
            <w:pPr>
              <w:rPr>
                <w:lang w:eastAsia="x-none"/>
              </w:rPr>
            </w:pPr>
            <w:r w:rsidRPr="00A57FDA">
              <w:rPr>
                <w:lang w:eastAsia="x-none"/>
              </w:rPr>
              <w:t>There is no consensus in RAN1 on further enhancements with not resetting N</w:t>
            </w:r>
            <w:r w:rsidRPr="00A57FDA">
              <w:rPr>
                <w:vertAlign w:val="subscript"/>
                <w:lang w:eastAsia="x-none"/>
              </w:rPr>
              <w:t>TA</w:t>
            </w:r>
            <w:r w:rsidRPr="00A57FDA">
              <w:rPr>
                <w:lang w:eastAsia="x-none"/>
              </w:rPr>
              <w:t xml:space="preserve"> =0 (i.e. apply accumulated N</w:t>
            </w:r>
            <w:r w:rsidRPr="00A57FDA">
              <w:rPr>
                <w:vertAlign w:val="subscript"/>
                <w:lang w:eastAsia="x-none"/>
              </w:rPr>
              <w:t>TA</w:t>
            </w:r>
            <w:r w:rsidRPr="00A57FDA">
              <w:rPr>
                <w:lang w:eastAsia="x-none"/>
              </w:rPr>
              <w:t xml:space="preserve"> before (N)PRACH transmission) for (N)RACH transmission within duration X.</w:t>
            </w:r>
          </w:p>
        </w:tc>
      </w:tr>
    </w:tbl>
    <w:p w14:paraId="70768278" w14:textId="23C1ED4A" w:rsidR="00A57FDA" w:rsidRDefault="00663149" w:rsidP="00FF3EEB">
      <w:pPr>
        <w:spacing w:before="120"/>
        <w:jc w:val="both"/>
      </w:pPr>
      <w:r>
        <w:t xml:space="preserve">As indicated by RAN2 LS, </w:t>
      </w:r>
      <w:r w:rsidR="00355BFB">
        <w:t>LS feedback is needed only if RAN1 has a different understanding from RAN2.</w:t>
      </w:r>
      <w:r w:rsidR="00F071BC">
        <w:t xml:space="preserve"> Thus, no further LS to RAN2 and RAN1 actions are needed.</w:t>
      </w:r>
    </w:p>
    <w:p w14:paraId="79BF0AC4" w14:textId="70FA49AA" w:rsidR="00355BFB" w:rsidRDefault="00355BFB" w:rsidP="00FF3EEB">
      <w:pPr>
        <w:spacing w:before="120"/>
        <w:jc w:val="both"/>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sidR="00F20517">
        <w:rPr>
          <w:i/>
          <w:iCs/>
        </w:rPr>
        <w:t>RAN1 c</w:t>
      </w:r>
      <w:r>
        <w:rPr>
          <w:i/>
          <w:iCs/>
        </w:rPr>
        <w:t>onfirm</w:t>
      </w:r>
      <w:r w:rsidR="00F20517">
        <w:rPr>
          <w:i/>
          <w:iCs/>
        </w:rPr>
        <w:t>s</w:t>
      </w:r>
      <w:r>
        <w:rPr>
          <w:i/>
          <w:iCs/>
        </w:rPr>
        <w:t xml:space="preserve"> the RAN2 understanding that </w:t>
      </w:r>
      <w:r w:rsidRPr="00355BFB">
        <w:rPr>
          <w:i/>
          <w:iCs/>
        </w:rPr>
        <w:t xml:space="preserve">connected mode random access to </w:t>
      </w:r>
      <w:proofErr w:type="spellStart"/>
      <w:r w:rsidRPr="00355BFB">
        <w:rPr>
          <w:i/>
          <w:iCs/>
        </w:rPr>
        <w:t>Pcell</w:t>
      </w:r>
      <w:proofErr w:type="spellEnd"/>
      <w:r w:rsidRPr="00355BFB">
        <w:rPr>
          <w:i/>
          <w:iCs/>
        </w:rPr>
        <w:t xml:space="preserve"> (including intra-cell handover case) is possible while T390 is running</w:t>
      </w:r>
      <w:r>
        <w:rPr>
          <w:i/>
          <w:iCs/>
        </w:rPr>
        <w:t>. No LS feedback</w:t>
      </w:r>
      <w:r w:rsidR="00F20517">
        <w:rPr>
          <w:i/>
          <w:iCs/>
        </w:rPr>
        <w:t xml:space="preserve"> to RAN2</w:t>
      </w:r>
      <w:r>
        <w:rPr>
          <w:i/>
          <w:iCs/>
        </w:rPr>
        <w:t xml:space="preserve"> is needed.</w:t>
      </w:r>
      <w:r w:rsidRPr="00355BFB">
        <w:rPr>
          <w:i/>
          <w:iCs/>
        </w:rPr>
        <w:t xml:space="preserve"> </w:t>
      </w:r>
    </w:p>
    <w:p w14:paraId="2896E657" w14:textId="2DF29AD0" w:rsidR="00854A60" w:rsidRPr="00A6576F" w:rsidRDefault="009C5A97" w:rsidP="00FB330B">
      <w:pPr>
        <w:pStyle w:val="Heading1"/>
      </w:pPr>
      <w:r w:rsidRPr="00A6576F">
        <w:lastRenderedPageBreak/>
        <w:t>Conclusion</w:t>
      </w:r>
    </w:p>
    <w:p w14:paraId="56E0A2D0" w14:textId="10CBAEB7" w:rsidR="00184B06" w:rsidRPr="00E41234" w:rsidRDefault="00A04318" w:rsidP="00A9231D">
      <w:pPr>
        <w:jc w:val="both"/>
      </w:pPr>
      <w:r>
        <w:t xml:space="preserve">In this contribution, </w:t>
      </w:r>
      <w:r w:rsidR="00F2767C">
        <w:t xml:space="preserve">we provided our views </w:t>
      </w:r>
      <w:r w:rsidR="00972C43">
        <w:t xml:space="preserve">on </w:t>
      </w:r>
      <w:r w:rsidR="00355BFB">
        <w:t>the UE behavior during the T390 running</w:t>
      </w:r>
      <w:r w:rsidR="00F2767C">
        <w:t xml:space="preserve">. </w:t>
      </w:r>
      <w:r>
        <w:t>Our</w:t>
      </w:r>
      <w:r w:rsidR="000D011A">
        <w:t xml:space="preserve"> </w:t>
      </w:r>
      <w:r w:rsidR="00355BFB">
        <w:t xml:space="preserve"> </w:t>
      </w:r>
      <w:r w:rsidR="00450F8E">
        <w:t xml:space="preserve"> </w:t>
      </w:r>
      <w:r>
        <w:t>proposa</w:t>
      </w:r>
      <w:r w:rsidR="00355BFB">
        <w:t>l</w:t>
      </w:r>
      <w:r>
        <w:t xml:space="preserve"> </w:t>
      </w:r>
      <w:r w:rsidR="00355BFB">
        <w:t>is</w:t>
      </w:r>
      <w:r>
        <w:t xml:space="preserve"> as follow</w:t>
      </w:r>
      <w:r w:rsidR="00F071BC">
        <w:t>s</w:t>
      </w:r>
      <w:r>
        <w:t>:</w:t>
      </w:r>
    </w:p>
    <w:p w14:paraId="203C4CFE" w14:textId="77777777" w:rsidR="00F071BC" w:rsidRDefault="00F071BC" w:rsidP="00F071BC">
      <w:pPr>
        <w:spacing w:before="120"/>
        <w:jc w:val="both"/>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RAN1 confirms the RAN2 understanding that </w:t>
      </w:r>
      <w:r w:rsidRPr="00355BFB">
        <w:rPr>
          <w:i/>
          <w:iCs/>
        </w:rPr>
        <w:t xml:space="preserve">connected mode random access to </w:t>
      </w:r>
      <w:proofErr w:type="spellStart"/>
      <w:r w:rsidRPr="00355BFB">
        <w:rPr>
          <w:i/>
          <w:iCs/>
        </w:rPr>
        <w:t>Pcell</w:t>
      </w:r>
      <w:proofErr w:type="spellEnd"/>
      <w:r w:rsidRPr="00355BFB">
        <w:rPr>
          <w:i/>
          <w:iCs/>
        </w:rPr>
        <w:t xml:space="preserve"> (including intra-cell handover case) is possible while T390 is running</w:t>
      </w:r>
      <w:r>
        <w:rPr>
          <w:i/>
          <w:iCs/>
        </w:rPr>
        <w:t>. No LS feedback to RAN2 is needed.</w:t>
      </w:r>
      <w:r w:rsidRPr="00355BFB">
        <w:rPr>
          <w:i/>
          <w:iCs/>
        </w:rPr>
        <w:t xml:space="preserve"> </w:t>
      </w:r>
    </w:p>
    <w:p w14:paraId="2E75F001" w14:textId="77777777" w:rsidR="007E70BB" w:rsidRPr="00A6576F" w:rsidRDefault="005C63AE" w:rsidP="007E70BB">
      <w:pPr>
        <w:pStyle w:val="Heading1"/>
      </w:pPr>
      <w:r w:rsidRPr="00A6576F">
        <w:t>References</w:t>
      </w:r>
    </w:p>
    <w:p w14:paraId="17D4F78C" w14:textId="50E59E64" w:rsidR="00C27E79" w:rsidRDefault="00C27E79" w:rsidP="00676BD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27E79">
        <w:t>R1-2405784</w:t>
      </w:r>
      <w:r>
        <w:t>, “</w:t>
      </w:r>
      <w:r w:rsidRPr="00C27E79">
        <w:t>LS on RACH during uplink transmission extension</w:t>
      </w:r>
      <w:r>
        <w:t xml:space="preserve">”, </w:t>
      </w:r>
      <w:r w:rsidRPr="00C27E79">
        <w:t xml:space="preserve">RAN2, Samsung </w:t>
      </w:r>
    </w:p>
    <w:p w14:paraId="2162E504" w14:textId="13FA4ADB" w:rsidR="00676BDE" w:rsidRDefault="00676BDE" w:rsidP="00C27E79">
      <w:pPr>
        <w:overflowPunct w:val="0"/>
        <w:autoSpaceDE w:val="0"/>
        <w:autoSpaceDN w:val="0"/>
        <w:adjustRightInd w:val="0"/>
        <w:spacing w:before="100" w:beforeAutospacing="1" w:after="120"/>
        <w:ind w:left="562"/>
        <w:jc w:val="both"/>
        <w:textAlignment w:val="baseline"/>
      </w:pPr>
    </w:p>
    <w:sectPr w:rsidR="00676BDE" w:rsidSect="008706B9">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28378" w14:textId="77777777" w:rsidR="00EE7586" w:rsidRDefault="00EE7586">
      <w:r>
        <w:separator/>
      </w:r>
    </w:p>
  </w:endnote>
  <w:endnote w:type="continuationSeparator" w:id="0">
    <w:p w14:paraId="5D9557F1" w14:textId="77777777" w:rsidR="00EE7586" w:rsidRDefault="00EE7586">
      <w:r>
        <w:continuationSeparator/>
      </w:r>
    </w:p>
  </w:endnote>
  <w:endnote w:type="continuationNotice" w:id="1">
    <w:p w14:paraId="6517577B" w14:textId="77777777" w:rsidR="00EE7586" w:rsidRDefault="00EE7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3E07B" w14:textId="77777777" w:rsidR="00EE7586" w:rsidRDefault="00EE7586">
      <w:r>
        <w:separator/>
      </w:r>
    </w:p>
  </w:footnote>
  <w:footnote w:type="continuationSeparator" w:id="0">
    <w:p w14:paraId="2C75560A" w14:textId="77777777" w:rsidR="00EE7586" w:rsidRDefault="00EE7586">
      <w:r>
        <w:continuationSeparator/>
      </w:r>
    </w:p>
  </w:footnote>
  <w:footnote w:type="continuationNotice" w:id="1">
    <w:p w14:paraId="41F91C56" w14:textId="77777777" w:rsidR="00EE7586" w:rsidRDefault="00EE75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4"/>
  </w:num>
  <w:num w:numId="3" w16cid:durableId="235363559">
    <w:abstractNumId w:val="28"/>
  </w:num>
  <w:num w:numId="4" w16cid:durableId="989679355">
    <w:abstractNumId w:val="30"/>
  </w:num>
  <w:num w:numId="5" w16cid:durableId="409810781">
    <w:abstractNumId w:val="24"/>
  </w:num>
  <w:num w:numId="6" w16cid:durableId="2081513416">
    <w:abstractNumId w:val="32"/>
  </w:num>
  <w:num w:numId="7" w16cid:durableId="1568495607">
    <w:abstractNumId w:val="43"/>
  </w:num>
  <w:num w:numId="8" w16cid:durableId="1929077284">
    <w:abstractNumId w:val="25"/>
  </w:num>
  <w:num w:numId="9" w16cid:durableId="69206241">
    <w:abstractNumId w:val="36"/>
  </w:num>
  <w:num w:numId="10" w16cid:durableId="1314335830">
    <w:abstractNumId w:val="1"/>
  </w:num>
  <w:num w:numId="11" w16cid:durableId="586155756">
    <w:abstractNumId w:val="31"/>
  </w:num>
  <w:num w:numId="12" w16cid:durableId="1461416379">
    <w:abstractNumId w:val="33"/>
  </w:num>
  <w:num w:numId="13" w16cid:durableId="131097616">
    <w:abstractNumId w:val="12"/>
  </w:num>
  <w:num w:numId="14" w16cid:durableId="1330669507">
    <w:abstractNumId w:val="42"/>
  </w:num>
  <w:num w:numId="15" w16cid:durableId="1544708605">
    <w:abstractNumId w:val="11"/>
  </w:num>
  <w:num w:numId="16" w16cid:durableId="1647202359">
    <w:abstractNumId w:val="29"/>
  </w:num>
  <w:num w:numId="17" w16cid:durableId="366611127">
    <w:abstractNumId w:val="0"/>
  </w:num>
  <w:num w:numId="18" w16cid:durableId="1176379521">
    <w:abstractNumId w:val="58"/>
  </w:num>
  <w:num w:numId="19" w16cid:durableId="494035189">
    <w:abstractNumId w:val="18"/>
  </w:num>
  <w:num w:numId="20" w16cid:durableId="1886402229">
    <w:abstractNumId w:val="57"/>
  </w:num>
  <w:num w:numId="21" w16cid:durableId="2128230243">
    <w:abstractNumId w:val="55"/>
  </w:num>
  <w:num w:numId="22" w16cid:durableId="31351445">
    <w:abstractNumId w:val="44"/>
  </w:num>
  <w:num w:numId="23" w16cid:durableId="1081098852">
    <w:abstractNumId w:val="4"/>
  </w:num>
  <w:num w:numId="24" w16cid:durableId="585111641">
    <w:abstractNumId w:val="10"/>
  </w:num>
  <w:num w:numId="25" w16cid:durableId="1769615368">
    <w:abstractNumId w:val="45"/>
  </w:num>
  <w:num w:numId="26" w16cid:durableId="1914119897">
    <w:abstractNumId w:val="19"/>
  </w:num>
  <w:num w:numId="27" w16cid:durableId="320233550">
    <w:abstractNumId w:val="14"/>
  </w:num>
  <w:num w:numId="28" w16cid:durableId="1797259966">
    <w:abstractNumId w:val="3"/>
  </w:num>
  <w:num w:numId="29" w16cid:durableId="1824543099">
    <w:abstractNumId w:val="39"/>
  </w:num>
  <w:num w:numId="30" w16cid:durableId="810824541">
    <w:abstractNumId w:val="9"/>
  </w:num>
  <w:num w:numId="31" w16cid:durableId="612783970">
    <w:abstractNumId w:val="59"/>
  </w:num>
  <w:num w:numId="32" w16cid:durableId="922572308">
    <w:abstractNumId w:val="53"/>
  </w:num>
  <w:num w:numId="33" w16cid:durableId="489830261">
    <w:abstractNumId w:val="27"/>
  </w:num>
  <w:num w:numId="34" w16cid:durableId="1596014999">
    <w:abstractNumId w:val="2"/>
  </w:num>
  <w:num w:numId="35" w16cid:durableId="654266786">
    <w:abstractNumId w:val="50"/>
  </w:num>
  <w:num w:numId="36" w16cid:durableId="1456556740">
    <w:abstractNumId w:val="48"/>
  </w:num>
  <w:num w:numId="37" w16cid:durableId="1670711974">
    <w:abstractNumId w:val="56"/>
  </w:num>
  <w:num w:numId="38" w16cid:durableId="1633756099">
    <w:abstractNumId w:val="23"/>
  </w:num>
  <w:num w:numId="39" w16cid:durableId="193033440">
    <w:abstractNumId w:val="13"/>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37"/>
  </w:num>
  <w:num w:numId="43" w16cid:durableId="2051612355">
    <w:abstractNumId w:val="38"/>
  </w:num>
  <w:num w:numId="44" w16cid:durableId="308293529">
    <w:abstractNumId w:val="35"/>
  </w:num>
  <w:num w:numId="45" w16cid:durableId="540901058">
    <w:abstractNumId w:val="22"/>
  </w:num>
  <w:num w:numId="46" w16cid:durableId="1371148412">
    <w:abstractNumId w:val="20"/>
  </w:num>
  <w:num w:numId="47" w16cid:durableId="288556596">
    <w:abstractNumId w:val="41"/>
  </w:num>
  <w:num w:numId="48" w16cid:durableId="1058212875">
    <w:abstractNumId w:val="26"/>
  </w:num>
  <w:num w:numId="49" w16cid:durableId="443576224">
    <w:abstractNumId w:val="40"/>
  </w:num>
  <w:num w:numId="50" w16cid:durableId="184368873">
    <w:abstractNumId w:val="49"/>
  </w:num>
  <w:num w:numId="51" w16cid:durableId="528227147">
    <w:abstractNumId w:val="16"/>
  </w:num>
  <w:num w:numId="52" w16cid:durableId="1067143925">
    <w:abstractNumId w:val="21"/>
  </w:num>
  <w:num w:numId="53" w16cid:durableId="1979257915">
    <w:abstractNumId w:val="7"/>
  </w:num>
  <w:num w:numId="54" w16cid:durableId="1047215618">
    <w:abstractNumId w:val="46"/>
  </w:num>
  <w:num w:numId="55" w16cid:durableId="780102954">
    <w:abstractNumId w:val="6"/>
  </w:num>
  <w:num w:numId="56" w16cid:durableId="879391874">
    <w:abstractNumId w:val="52"/>
  </w:num>
  <w:num w:numId="57" w16cid:durableId="138499645">
    <w:abstractNumId w:val="15"/>
  </w:num>
  <w:num w:numId="58" w16cid:durableId="262962241">
    <w:abstractNumId w:val="47"/>
  </w:num>
  <w:num w:numId="59" w16cid:durableId="1820263647">
    <w:abstractNumId w:val="54"/>
  </w:num>
  <w:num w:numId="60" w16cid:durableId="577594920">
    <w:abstractNumId w:val="5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53A"/>
    <w:rsid w:val="00035672"/>
    <w:rsid w:val="0003582C"/>
    <w:rsid w:val="00036426"/>
    <w:rsid w:val="00036BA1"/>
    <w:rsid w:val="00036E9B"/>
    <w:rsid w:val="000374B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6C1"/>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68C5"/>
    <w:rsid w:val="00067759"/>
    <w:rsid w:val="00067A5B"/>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608"/>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E36"/>
    <w:rsid w:val="000E1032"/>
    <w:rsid w:val="000E113C"/>
    <w:rsid w:val="000E1875"/>
    <w:rsid w:val="000E1ADC"/>
    <w:rsid w:val="000E1ADD"/>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9A1"/>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7C9"/>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BFB"/>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6E3E"/>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501"/>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4E7A"/>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97"/>
    <w:rsid w:val="006326B6"/>
    <w:rsid w:val="0063284C"/>
    <w:rsid w:val="00632865"/>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45C"/>
    <w:rsid w:val="00643475"/>
    <w:rsid w:val="006435B8"/>
    <w:rsid w:val="0064396A"/>
    <w:rsid w:val="00643A60"/>
    <w:rsid w:val="00643B57"/>
    <w:rsid w:val="00643E71"/>
    <w:rsid w:val="0064404C"/>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149"/>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2FD2"/>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602"/>
    <w:rsid w:val="0099299D"/>
    <w:rsid w:val="009929BE"/>
    <w:rsid w:val="00992EF7"/>
    <w:rsid w:val="00993049"/>
    <w:rsid w:val="009931A8"/>
    <w:rsid w:val="00994845"/>
    <w:rsid w:val="0099487F"/>
    <w:rsid w:val="00994DCA"/>
    <w:rsid w:val="009954D1"/>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0B"/>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57FDA"/>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1D"/>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8F"/>
    <w:rsid w:val="00B46AD4"/>
    <w:rsid w:val="00B46E76"/>
    <w:rsid w:val="00B4744D"/>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6D25"/>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0CDA"/>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A09"/>
    <w:rsid w:val="00BE5A2F"/>
    <w:rsid w:val="00BE5EAE"/>
    <w:rsid w:val="00BE6453"/>
    <w:rsid w:val="00BE6536"/>
    <w:rsid w:val="00BE7406"/>
    <w:rsid w:val="00BE757B"/>
    <w:rsid w:val="00BE7603"/>
    <w:rsid w:val="00BE7B66"/>
    <w:rsid w:val="00BE7BDE"/>
    <w:rsid w:val="00BE7E8F"/>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27E79"/>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AB"/>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F71"/>
    <w:rsid w:val="00C7129C"/>
    <w:rsid w:val="00C716A0"/>
    <w:rsid w:val="00C71E5F"/>
    <w:rsid w:val="00C72EF4"/>
    <w:rsid w:val="00C73332"/>
    <w:rsid w:val="00C73931"/>
    <w:rsid w:val="00C74737"/>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6FC"/>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17FC0"/>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615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47AB"/>
    <w:rsid w:val="00EA5201"/>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BDD"/>
    <w:rsid w:val="00ED7E54"/>
    <w:rsid w:val="00EE0A2B"/>
    <w:rsid w:val="00EE0CA6"/>
    <w:rsid w:val="00EE0E2C"/>
    <w:rsid w:val="00EE17AA"/>
    <w:rsid w:val="00EE1939"/>
    <w:rsid w:val="00EE2BB7"/>
    <w:rsid w:val="00EE2C5B"/>
    <w:rsid w:val="00EE3576"/>
    <w:rsid w:val="00EE35E9"/>
    <w:rsid w:val="00EE37D0"/>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E7586"/>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2A"/>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BC"/>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517"/>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419"/>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395"/>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777D1"/>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1F3"/>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D77"/>
    <w:rsid w:val="00FF3013"/>
    <w:rsid w:val="00FF303A"/>
    <w:rsid w:val="00FF3EEB"/>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 w:type="paragraph" w:customStyle="1" w:styleId="Agreement">
    <w:name w:val="Agreement"/>
    <w:basedOn w:val="Normal"/>
    <w:next w:val="Normal"/>
    <w:qFormat/>
    <w:rsid w:val="00C27E79"/>
    <w:pPr>
      <w:numPr>
        <w:numId w:val="6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308601">
      <w:bodyDiv w:val="1"/>
      <w:marLeft w:val="0"/>
      <w:marRight w:val="0"/>
      <w:marTop w:val="0"/>
      <w:marBottom w:val="0"/>
      <w:divBdr>
        <w:top w:val="none" w:sz="0" w:space="0" w:color="auto"/>
        <w:left w:val="none" w:sz="0" w:space="0" w:color="auto"/>
        <w:bottom w:val="none" w:sz="0" w:space="0" w:color="auto"/>
        <w:right w:val="none" w:sz="0" w:space="0" w:color="auto"/>
      </w:divBdr>
    </w:div>
    <w:div w:id="198976317">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12350609">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1939561277">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